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700224"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Goal:</w:t>
            </w:r>
          </w:p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 To develop and support web tools that meet the needs and requirements of the BCOER Librarians mandates.</w:t>
            </w:r>
          </w:p>
        </w:tc>
      </w:tr>
      <w:tr w:rsidR="00700224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Objective</w:t>
            </w:r>
          </w:p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To develop an open, user friendly, resource rich website.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Working Group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Timeline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social media applications for use on the website (e.g. </w:t>
            </w:r>
            <w:proofErr w:type="spellStart"/>
            <w:r>
              <w:rPr>
                <w:sz w:val="20"/>
                <w:szCs w:val="20"/>
              </w:rPr>
              <w:t>slideshare</w:t>
            </w:r>
            <w:proofErr w:type="spellEnd"/>
            <w:r>
              <w:rPr>
                <w:sz w:val="20"/>
                <w:szCs w:val="20"/>
              </w:rPr>
              <w:t>, twitter)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Kevin, Erin, Rosario, Caroline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the documentation from the SLAIS </w:t>
            </w:r>
            <w:proofErr w:type="gramStart"/>
            <w:r>
              <w:rPr>
                <w:sz w:val="20"/>
                <w:szCs w:val="20"/>
              </w:rPr>
              <w:t>students</w:t>
            </w:r>
            <w:proofErr w:type="gramEnd"/>
            <w:r>
              <w:rPr>
                <w:sz w:val="20"/>
                <w:szCs w:val="20"/>
              </w:rPr>
              <w:t xml:space="preserve"> professional development work.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Kevin, Erin, Rosario, Caroline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analysis to see what content is needed and what content can be thrown out (</w:t>
            </w:r>
            <w:proofErr w:type="spellStart"/>
            <w:r>
              <w:rPr>
                <w:sz w:val="20"/>
                <w:szCs w:val="20"/>
              </w:rPr>
              <w:t>wikispaces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mediawiki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  <w:r>
              <w:rPr>
                <w:sz w:val="20"/>
                <w:szCs w:val="20"/>
              </w:rPr>
              <w:t xml:space="preserve"> site)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content on all BCOER spaces</w:t>
            </w:r>
          </w:p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criteria for maintaining, removing, archiving of content</w:t>
            </w:r>
          </w:p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Collate new documentation </w:t>
            </w:r>
            <w:r>
              <w:rPr>
                <w:sz w:val="20"/>
                <w:szCs w:val="20"/>
              </w:rPr>
              <w:lastRenderedPageBreak/>
              <w:t>(missions, values, terms of reference)</w:t>
            </w:r>
          </w:p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missing documentation for the website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Kevin, Erin, Rosario, Caroline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31, 2016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 xml:space="preserve"> account on </w:t>
            </w: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  <w:r>
              <w:rPr>
                <w:sz w:val="20"/>
                <w:szCs w:val="20"/>
              </w:rPr>
              <w:t xml:space="preserve"> website with remote access.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timelines for </w:t>
            </w: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  <w:r>
              <w:rPr>
                <w:sz w:val="20"/>
                <w:szCs w:val="20"/>
              </w:rPr>
              <w:t xml:space="preserve"> website renewal</w:t>
            </w:r>
          </w:p>
          <w:p w:rsidR="00700224" w:rsidRDefault="00780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if there can be access to the website from a distance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Kevin, Erin, Rosario, Caroline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15, 2016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appropriate documentation on using the tools to maintain content.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2016</w:t>
            </w:r>
          </w:p>
        </w:tc>
      </w:tr>
    </w:tbl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700224"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lastRenderedPageBreak/>
              <w:t>Goal:</w:t>
            </w:r>
          </w:p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 To develop and support web tools that meet the needs and requirements of the BCOER Librarians mandates.</w:t>
            </w:r>
          </w:p>
        </w:tc>
      </w:tr>
      <w:tr w:rsidR="00700224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Objective</w:t>
            </w:r>
          </w:p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To review current sharing tools (</w:t>
            </w:r>
            <w:proofErr w:type="spellStart"/>
            <w:r>
              <w:rPr>
                <w:b/>
                <w:sz w:val="24"/>
                <w:szCs w:val="24"/>
                <w:shd w:val="clear" w:color="auto" w:fill="CCC0D9"/>
              </w:rPr>
              <w:t>Mediawiki</w:t>
            </w:r>
            <w:proofErr w:type="spellEnd"/>
            <w:r>
              <w:rPr>
                <w:b/>
                <w:sz w:val="24"/>
                <w:szCs w:val="24"/>
                <w:shd w:val="clear" w:color="auto" w:fill="CCC0D9"/>
              </w:rPr>
              <w:t>) and new tools (social media) to support communication and delivery of materials from the BCOER Librarians to BC librarians and interested community members within the next year.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Working Group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Timeline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social media applications for use on the website (e.g. </w:t>
            </w:r>
            <w:proofErr w:type="spellStart"/>
            <w:r>
              <w:rPr>
                <w:sz w:val="20"/>
                <w:szCs w:val="20"/>
              </w:rPr>
              <w:t>slideshare</w:t>
            </w:r>
            <w:proofErr w:type="spellEnd"/>
            <w:r>
              <w:rPr>
                <w:sz w:val="20"/>
                <w:szCs w:val="20"/>
              </w:rPr>
              <w:t>, twitter)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Kevin, Erin, Rosario, Caroline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analysis to see what content is needed and what content can be thrown out (</w:t>
            </w:r>
            <w:proofErr w:type="spellStart"/>
            <w:r>
              <w:rPr>
                <w:sz w:val="20"/>
                <w:szCs w:val="20"/>
              </w:rPr>
              <w:t>wikispaces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mediawiki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  <w:r>
              <w:rPr>
                <w:sz w:val="20"/>
                <w:szCs w:val="20"/>
              </w:rPr>
              <w:t xml:space="preserve"> site)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content on all BCOER spaces</w:t>
            </w:r>
          </w:p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criteria for maintaining, removing, archiving of content</w:t>
            </w:r>
          </w:p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Collate new documentation (missions, values, terms of reference)</w:t>
            </w:r>
          </w:p>
          <w:p w:rsidR="00700224" w:rsidRDefault="0078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missing documentation for the website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Kevin, Erin, Rosario, Caroline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31, 2016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Perform a needs analysis around shared content to select the best tool (e.g. </w:t>
            </w:r>
            <w:proofErr w:type="spellStart"/>
            <w:r>
              <w:rPr>
                <w:sz w:val="20"/>
                <w:szCs w:val="20"/>
              </w:rPr>
              <w:t>mediawiki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14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needs of the group to decide on best tool to use </w:t>
            </w:r>
          </w:p>
          <w:p w:rsidR="00700224" w:rsidRDefault="00780C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14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potential tool functionality to ensure it meets the needs of the group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Kevin, Erin, Rosario, Caroline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2016</w:t>
            </w:r>
          </w:p>
        </w:tc>
      </w:tr>
      <w:tr w:rsidR="00700224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appropriate documentation on using the tools to maintain content.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0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224" w:rsidRDefault="0078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2016</w:t>
            </w:r>
          </w:p>
        </w:tc>
      </w:tr>
    </w:tbl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p w:rsidR="00700224" w:rsidRDefault="00700224">
      <w:pPr>
        <w:pBdr>
          <w:top w:val="nil"/>
          <w:left w:val="nil"/>
          <w:bottom w:val="nil"/>
          <w:right w:val="nil"/>
          <w:between w:val="nil"/>
        </w:pBdr>
      </w:pPr>
    </w:p>
    <w:sectPr w:rsidR="0070022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AB0"/>
    <w:multiLevelType w:val="multilevel"/>
    <w:tmpl w:val="BB1EF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E41037"/>
    <w:multiLevelType w:val="multilevel"/>
    <w:tmpl w:val="6456C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BD6789"/>
    <w:multiLevelType w:val="multilevel"/>
    <w:tmpl w:val="77F67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24"/>
    <w:rsid w:val="00700224"/>
    <w:rsid w:val="007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5A303-2F1C-4301-A5C8-21651DE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Smith</dc:creator>
  <cp:lastModifiedBy>Brenda Smith</cp:lastModifiedBy>
  <cp:revision>2</cp:revision>
  <dcterms:created xsi:type="dcterms:W3CDTF">2018-06-28T22:19:00Z</dcterms:created>
  <dcterms:modified xsi:type="dcterms:W3CDTF">2018-06-28T22:19:00Z</dcterms:modified>
</cp:coreProperties>
</file>